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0431AB1F" w:rsidR="009B7BFF" w:rsidRPr="00985D69" w:rsidRDefault="00B36BBC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7BFF" w:rsidRPr="00985D69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Rady Ministrów z dnia 21 października 2019 r. w sprawie szczegółowego sposobu gospodarowania składnikami rzeczowymi majątku ruchomego Skarbu Państwa (Dz. U. z 202</w:t>
      </w:r>
      <w:r w:rsidR="00A401CC">
        <w:rPr>
          <w:rFonts w:asciiTheme="minorHAnsi" w:hAnsiTheme="minorHAnsi" w:cstheme="minorHAnsi"/>
          <w:sz w:val="22"/>
          <w:szCs w:val="22"/>
        </w:rPr>
        <w:t>5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A401CC">
        <w:rPr>
          <w:rFonts w:asciiTheme="minorHAnsi" w:hAnsiTheme="minorHAnsi" w:cstheme="minorHAnsi"/>
          <w:sz w:val="22"/>
          <w:szCs w:val="22"/>
        </w:rPr>
        <w:t xml:space="preserve">28 </w:t>
      </w:r>
      <w:r w:rsidR="009B7BFF"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9B7BFF"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C3A24CD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1580E801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36BB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A401C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B36B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B36BBC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B36BBC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7973CB0F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6E19DB" w:rsidRPr="006E19DB">
      <w:rPr>
        <w:bCs/>
        <w:u w:val="single"/>
      </w:rPr>
      <w:t>3157223</w:t>
    </w:r>
  </w:p>
  <w:p w14:paraId="10BE6F24" w14:textId="7EB1789E" w:rsidR="00B86359" w:rsidRPr="003E74E1" w:rsidRDefault="00B36BBC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E19DB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401CC"/>
    <w:rsid w:val="00AC4DC2"/>
    <w:rsid w:val="00AD3A36"/>
    <w:rsid w:val="00AD7F3B"/>
    <w:rsid w:val="00B36BBC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22</cp:revision>
  <cp:lastPrinted>2024-05-24T11:39:00Z</cp:lastPrinted>
  <dcterms:created xsi:type="dcterms:W3CDTF">2024-05-27T09:59:00Z</dcterms:created>
  <dcterms:modified xsi:type="dcterms:W3CDTF">2025-05-14T12:20:00Z</dcterms:modified>
</cp:coreProperties>
</file>